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2DA846" w14:textId="77777777" w:rsidR="00D32DE8" w:rsidRPr="00D32DE8" w:rsidRDefault="00D32DE8" w:rsidP="00D32DE8">
      <w:pPr>
        <w:spacing w:after="300" w:line="240" w:lineRule="auto"/>
        <w:outlineLvl w:val="1"/>
        <w:rPr>
          <w:rFonts w:ascii="Times New Roman" w:eastAsia="Times New Roman" w:hAnsi="Times New Roman" w:cs="Times New Roman"/>
          <w:b/>
          <w:sz w:val="28"/>
          <w:szCs w:val="28"/>
          <w:u w:val="single"/>
        </w:rPr>
      </w:pPr>
      <w:r w:rsidRPr="00D32DE8">
        <w:rPr>
          <w:rFonts w:ascii="Times New Roman" w:eastAsia="Times New Roman" w:hAnsi="Times New Roman" w:cs="Times New Roman"/>
          <w:b/>
          <w:sz w:val="28"/>
          <w:szCs w:val="28"/>
          <w:u w:val="single"/>
        </w:rPr>
        <w:t>Case study: Kodak</w:t>
      </w:r>
    </w:p>
    <w:p w14:paraId="539D6569" w14:textId="77777777" w:rsidR="00D32DE8" w:rsidRPr="00D32DE8" w:rsidRDefault="00D32DE8" w:rsidP="00D32DE8">
      <w:pPr>
        <w:spacing w:after="300" w:line="240" w:lineRule="auto"/>
        <w:rPr>
          <w:rFonts w:ascii="Times New Roman" w:eastAsia="Times New Roman" w:hAnsi="Times New Roman" w:cs="Times New Roman"/>
          <w:color w:val="333333"/>
          <w:sz w:val="24"/>
          <w:szCs w:val="24"/>
        </w:rPr>
      </w:pPr>
      <w:r w:rsidRPr="00D32DE8">
        <w:rPr>
          <w:rFonts w:ascii="Times New Roman" w:eastAsia="Times New Roman" w:hAnsi="Times New Roman" w:cs="Times New Roman"/>
          <w:color w:val="333333"/>
          <w:sz w:val="24"/>
          <w:szCs w:val="24"/>
        </w:rPr>
        <w:t>Kodak has faced an unprecedented magnitude of change. The speed with which Kodak’s core market for traditional silver halide roll-film has collapsed in recent decades is blistering. However, one compelling theory is it was not the speedy pace of the transition that undermined Kodak, which filed for Chapter 11 bankruptcy protection in January 2012, but the fact that it was drawn out over decades. In other words, Kodak first pioneered digital technologies in the 1970s and 1980s but, until relatively recently, the urgency of the challenge was never quite sharp enough to persuade its employees, investors and executives that it had to overhaul, or even sacrifice time-honored ways of doing business.</w:t>
      </w:r>
    </w:p>
    <w:p w14:paraId="58486122" w14:textId="77777777" w:rsidR="00D32DE8" w:rsidRPr="00D32DE8" w:rsidRDefault="00D32DE8" w:rsidP="00D32DE8">
      <w:pPr>
        <w:spacing w:after="300" w:line="240" w:lineRule="auto"/>
        <w:rPr>
          <w:rFonts w:ascii="Times New Roman" w:eastAsia="Times New Roman" w:hAnsi="Times New Roman" w:cs="Times New Roman"/>
          <w:color w:val="333333"/>
          <w:sz w:val="24"/>
          <w:szCs w:val="24"/>
        </w:rPr>
      </w:pPr>
      <w:r w:rsidRPr="00D32DE8">
        <w:rPr>
          <w:rFonts w:ascii="Times New Roman" w:eastAsia="Times New Roman" w:hAnsi="Times New Roman" w:cs="Times New Roman"/>
          <w:color w:val="333333"/>
          <w:sz w:val="24"/>
          <w:szCs w:val="24"/>
        </w:rPr>
        <w:t>In 2000, with Wall Street skeptical about the promise of digital photography, Kodak was still searching for a way to bridge the gulf between its dominance of the highly profitable roll-film business and a lower-margin, highly competitive digital future. Successive chief executives talked up the opportunities, but each failed to break down the structural, cultural and strategic obstacles to change. The company’s dominance of the sector and confidence in its brand and marketing also led it to rest on its strategic laurels. Fujifilm of Japan had successfully dented Kodak’s roll-film dominance in the 1980s. In the 1990s, Fuji was forced to diversify simply in order to achieve the scale to compete with Kodak. It used its film expertise to create components for flat-panel LCD screens, for instance, and when the consumer film market finally dropped off the cliff-edge, these other businesses cushioned Fuji’s fall. By the time Antonio Pérez took over as chief executive in 2005, divisions within the company had started to break down and were heading down a route of intense, possibly futile competition in the printer market. Kodak must encourage and welcome the innovative ideas. Kodak was dragged down by the alluring comfort of being on top. When people are saying that the sky is falling, but the dollars keep rolling in the door, it’s easy to deduce that people are over-reacting.</w:t>
      </w:r>
    </w:p>
    <w:p w14:paraId="6BC33615" w14:textId="77777777" w:rsidR="00D32DE8" w:rsidRPr="00D32DE8" w:rsidRDefault="00D32DE8" w:rsidP="00D32DE8">
      <w:pPr>
        <w:spacing w:after="300" w:line="240" w:lineRule="auto"/>
        <w:rPr>
          <w:rFonts w:ascii="Times New Roman" w:eastAsia="Times New Roman" w:hAnsi="Times New Roman" w:cs="Times New Roman"/>
          <w:color w:val="333333"/>
          <w:sz w:val="24"/>
          <w:szCs w:val="24"/>
        </w:rPr>
      </w:pPr>
      <w:r w:rsidRPr="00D32DE8">
        <w:rPr>
          <w:rFonts w:ascii="Times New Roman" w:eastAsia="Times New Roman" w:hAnsi="Times New Roman" w:cs="Times New Roman"/>
          <w:color w:val="333333"/>
          <w:sz w:val="24"/>
          <w:szCs w:val="24"/>
        </w:rPr>
        <w:t xml:space="preserve">Randy </w:t>
      </w:r>
      <w:proofErr w:type="spellStart"/>
      <w:r w:rsidRPr="00D32DE8">
        <w:rPr>
          <w:rFonts w:ascii="Times New Roman" w:eastAsia="Times New Roman" w:hAnsi="Times New Roman" w:cs="Times New Roman"/>
          <w:color w:val="333333"/>
          <w:sz w:val="24"/>
          <w:szCs w:val="24"/>
        </w:rPr>
        <w:t>Ottinger</w:t>
      </w:r>
      <w:proofErr w:type="spellEnd"/>
      <w:r w:rsidRPr="00D32DE8">
        <w:rPr>
          <w:rFonts w:ascii="Times New Roman" w:eastAsia="Times New Roman" w:hAnsi="Times New Roman" w:cs="Times New Roman"/>
          <w:color w:val="333333"/>
          <w:sz w:val="24"/>
          <w:szCs w:val="24"/>
        </w:rPr>
        <w:t xml:space="preserve"> (2013)</w:t>
      </w:r>
      <w:bookmarkStart w:id="0" w:name="_ftnref1"/>
      <w:r w:rsidRPr="00D32DE8">
        <w:rPr>
          <w:rFonts w:ascii="Times New Roman" w:eastAsia="Times New Roman" w:hAnsi="Times New Roman" w:cs="Times New Roman"/>
          <w:color w:val="333333"/>
          <w:sz w:val="24"/>
          <w:szCs w:val="24"/>
        </w:rPr>
        <w:fldChar w:fldCharType="begin"/>
      </w:r>
      <w:r w:rsidRPr="00D32DE8">
        <w:rPr>
          <w:rFonts w:ascii="Times New Roman" w:eastAsia="Times New Roman" w:hAnsi="Times New Roman" w:cs="Times New Roman"/>
          <w:color w:val="333333"/>
          <w:sz w:val="24"/>
          <w:szCs w:val="24"/>
        </w:rPr>
        <w:instrText xml:space="preserve"> HYPERLINK "https://study.sagepub.com/sustaining-change-in-organizations/instructor-resources/chapter-5" \l "_ftn1" \o "" </w:instrText>
      </w:r>
      <w:r w:rsidRPr="00D32DE8">
        <w:rPr>
          <w:rFonts w:ascii="Times New Roman" w:eastAsia="Times New Roman" w:hAnsi="Times New Roman" w:cs="Times New Roman"/>
          <w:color w:val="333333"/>
          <w:sz w:val="24"/>
          <w:szCs w:val="24"/>
        </w:rPr>
        <w:fldChar w:fldCharType="separate"/>
      </w:r>
      <w:r w:rsidRPr="00D32DE8">
        <w:rPr>
          <w:rFonts w:ascii="Times New Roman" w:eastAsia="Times New Roman" w:hAnsi="Times New Roman" w:cs="Times New Roman"/>
          <w:color w:val="016BA5"/>
          <w:sz w:val="24"/>
          <w:szCs w:val="24"/>
        </w:rPr>
        <w:t>[37]</w:t>
      </w:r>
      <w:r w:rsidRPr="00D32DE8">
        <w:rPr>
          <w:rFonts w:ascii="Times New Roman" w:eastAsia="Times New Roman" w:hAnsi="Times New Roman" w:cs="Times New Roman"/>
          <w:color w:val="333333"/>
          <w:sz w:val="24"/>
          <w:szCs w:val="24"/>
        </w:rPr>
        <w:fldChar w:fldCharType="end"/>
      </w:r>
      <w:bookmarkEnd w:id="0"/>
      <w:r w:rsidRPr="00D32DE8">
        <w:rPr>
          <w:rFonts w:ascii="Times New Roman" w:eastAsia="Times New Roman" w:hAnsi="Times New Roman" w:cs="Times New Roman"/>
          <w:color w:val="333333"/>
          <w:sz w:val="24"/>
          <w:szCs w:val="24"/>
        </w:rPr>
        <w:t xml:space="preserve"> reviews where Kodak is now and if it has learnt its lessons. </w:t>
      </w:r>
      <w:proofErr w:type="spellStart"/>
      <w:r w:rsidRPr="00D32DE8">
        <w:rPr>
          <w:rFonts w:ascii="Times New Roman" w:eastAsia="Times New Roman" w:hAnsi="Times New Roman" w:cs="Times New Roman"/>
          <w:color w:val="333333"/>
          <w:sz w:val="24"/>
          <w:szCs w:val="24"/>
        </w:rPr>
        <w:t>Ottinger</w:t>
      </w:r>
      <w:proofErr w:type="spellEnd"/>
      <w:r w:rsidRPr="00D32DE8">
        <w:rPr>
          <w:rFonts w:ascii="Times New Roman" w:eastAsia="Times New Roman" w:hAnsi="Times New Roman" w:cs="Times New Roman"/>
          <w:color w:val="333333"/>
          <w:sz w:val="24"/>
          <w:szCs w:val="24"/>
        </w:rPr>
        <w:t xml:space="preserve"> points out that Kodak has emerged from bankruptcy protection slimmer, trimmer, and with a new business plan. As Kodak enters a more focused space – limited to packaging, graphic communications, and functional printing – they will face tough competition. But, if the company focuses on the customer and its culture, they will be able to pull ahead of the competitors in this space. In order to do this, Kodak must change its ways – going from the behemoth in the industry to a more nimble, engaged, and innovative company. Rather than looking within the organization for small changes, or even within the industry, Kodak needs to listen for the new ways customers wish to use its products. This is the only way they will avoid their </w:t>
      </w:r>
      <w:hyperlink r:id="rId5" w:tgtFrame="_blank" w:history="1">
        <w:r w:rsidRPr="00D32DE8">
          <w:rPr>
            <w:rFonts w:ascii="Times New Roman" w:eastAsia="Times New Roman" w:hAnsi="Times New Roman" w:cs="Times New Roman"/>
            <w:color w:val="016BA5"/>
            <w:sz w:val="24"/>
            <w:szCs w:val="24"/>
          </w:rPr>
          <w:t>past situation</w:t>
        </w:r>
      </w:hyperlink>
      <w:r w:rsidRPr="00D32DE8">
        <w:rPr>
          <w:rFonts w:ascii="Times New Roman" w:eastAsia="Times New Roman" w:hAnsi="Times New Roman" w:cs="Times New Roman"/>
          <w:color w:val="333333"/>
          <w:sz w:val="24"/>
          <w:szCs w:val="24"/>
        </w:rPr>
        <w:t> where a massive shift was happening in their industry, but they failed to see it because they still had dollars rolling in from their existing products. The new Kodak must engage employees, as innovators who are constantly looking for new and better ways to reach the goal. The new Kodak must root out complacency at every level. It must encourage and welcome innovative ideas. If Kodak follows this approach they can avoid the dangerous place in which they found themselves in the past – the death spiral.</w:t>
      </w:r>
    </w:p>
    <w:p w14:paraId="3AFEB093" w14:textId="77777777" w:rsidR="00D32DE8" w:rsidRDefault="00D32DE8" w:rsidP="00D32DE8">
      <w:pPr>
        <w:spacing w:after="300" w:line="240" w:lineRule="auto"/>
        <w:outlineLvl w:val="1"/>
        <w:rPr>
          <w:rFonts w:ascii="Arial" w:eastAsia="Times New Roman" w:hAnsi="Arial" w:cs="Arial"/>
          <w:color w:val="EB6C04"/>
          <w:sz w:val="30"/>
          <w:szCs w:val="30"/>
        </w:rPr>
      </w:pPr>
    </w:p>
    <w:p w14:paraId="57C8D570" w14:textId="77777777" w:rsidR="00D32DE8" w:rsidRPr="00D32DE8" w:rsidRDefault="00D32DE8" w:rsidP="00D32DE8">
      <w:pPr>
        <w:spacing w:after="300" w:line="240" w:lineRule="auto"/>
        <w:outlineLvl w:val="1"/>
        <w:rPr>
          <w:rFonts w:ascii="Times New Roman" w:eastAsia="Times New Roman" w:hAnsi="Times New Roman" w:cs="Times New Roman"/>
          <w:sz w:val="28"/>
          <w:szCs w:val="28"/>
        </w:rPr>
      </w:pPr>
      <w:r w:rsidRPr="00D32DE8">
        <w:rPr>
          <w:rFonts w:ascii="Times New Roman" w:eastAsia="Times New Roman" w:hAnsi="Times New Roman" w:cs="Times New Roman"/>
          <w:sz w:val="28"/>
          <w:szCs w:val="28"/>
        </w:rPr>
        <w:lastRenderedPageBreak/>
        <w:t>Discussion questions:</w:t>
      </w:r>
    </w:p>
    <w:p w14:paraId="15184F68" w14:textId="6D5A3BDC" w:rsidR="006E6481" w:rsidRPr="006E6481" w:rsidRDefault="00D32DE8" w:rsidP="006E6481">
      <w:pPr>
        <w:numPr>
          <w:ilvl w:val="0"/>
          <w:numId w:val="1"/>
        </w:numPr>
        <w:spacing w:before="100" w:beforeAutospacing="1" w:after="100" w:afterAutospacing="1" w:line="240" w:lineRule="auto"/>
        <w:rPr>
          <w:rFonts w:ascii="Times New Roman" w:eastAsia="Times New Roman" w:hAnsi="Times New Roman" w:cs="Times New Roman"/>
          <w:color w:val="333333"/>
          <w:sz w:val="24"/>
          <w:szCs w:val="24"/>
        </w:rPr>
      </w:pPr>
      <w:r w:rsidRPr="00D32DE8">
        <w:rPr>
          <w:rFonts w:ascii="Times New Roman" w:eastAsia="Times New Roman" w:hAnsi="Times New Roman" w:cs="Times New Roman"/>
          <w:color w:val="333333"/>
          <w:sz w:val="24"/>
          <w:szCs w:val="24"/>
        </w:rPr>
        <w:t>What can today’s market leaders learn from the humbling of the Kodak experience which saw what was coming next but still did not adapt?</w:t>
      </w:r>
      <w:bookmarkStart w:id="1" w:name="_GoBack"/>
      <w:bookmarkEnd w:id="1"/>
    </w:p>
    <w:p w14:paraId="77A4C66D" w14:textId="77777777" w:rsidR="00D32DE8" w:rsidRPr="00D32DE8" w:rsidRDefault="00D32DE8" w:rsidP="00D32DE8">
      <w:pPr>
        <w:numPr>
          <w:ilvl w:val="0"/>
          <w:numId w:val="1"/>
        </w:numPr>
        <w:spacing w:before="100" w:beforeAutospacing="1" w:after="100" w:afterAutospacing="1" w:line="240" w:lineRule="auto"/>
        <w:rPr>
          <w:rFonts w:ascii="Times New Roman" w:eastAsia="Times New Roman" w:hAnsi="Times New Roman" w:cs="Times New Roman"/>
          <w:color w:val="333333"/>
          <w:sz w:val="24"/>
          <w:szCs w:val="24"/>
        </w:rPr>
      </w:pPr>
      <w:r w:rsidRPr="00D32DE8">
        <w:rPr>
          <w:rFonts w:ascii="Times New Roman" w:eastAsia="Times New Roman" w:hAnsi="Times New Roman" w:cs="Times New Roman"/>
          <w:color w:val="333333"/>
          <w:sz w:val="24"/>
          <w:szCs w:val="24"/>
        </w:rPr>
        <w:t>What can companies, like Kodak, do to avoid the death spiral, in the future?</w:t>
      </w:r>
    </w:p>
    <w:p w14:paraId="075D4D2B" w14:textId="77777777" w:rsidR="00D32DE8" w:rsidRPr="00D32DE8" w:rsidRDefault="006E6481" w:rsidP="00D32DE8">
      <w:pPr>
        <w:spacing w:after="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pict w14:anchorId="7231DFF2">
          <v:rect id="_x0000_i1025" style="width:0;height:0" o:hralign="center" o:hrstd="t" o:hr="t" fillcolor="#a0a0a0" stroked="f"/>
        </w:pict>
      </w:r>
    </w:p>
    <w:bookmarkStart w:id="2" w:name="_ftn1"/>
    <w:p w14:paraId="216630FB" w14:textId="77777777" w:rsidR="00D32DE8" w:rsidRPr="00D32DE8" w:rsidRDefault="00D32DE8" w:rsidP="00D32DE8">
      <w:pPr>
        <w:spacing w:after="300" w:line="240" w:lineRule="auto"/>
        <w:rPr>
          <w:rFonts w:ascii="Times New Roman" w:eastAsia="Times New Roman" w:hAnsi="Times New Roman" w:cs="Times New Roman"/>
          <w:color w:val="333333"/>
          <w:sz w:val="24"/>
          <w:szCs w:val="24"/>
        </w:rPr>
      </w:pPr>
      <w:r w:rsidRPr="00D32DE8">
        <w:rPr>
          <w:rFonts w:ascii="Times New Roman" w:eastAsia="Times New Roman" w:hAnsi="Times New Roman" w:cs="Times New Roman"/>
          <w:color w:val="333333"/>
          <w:sz w:val="24"/>
          <w:szCs w:val="24"/>
        </w:rPr>
        <w:fldChar w:fldCharType="begin"/>
      </w:r>
      <w:r w:rsidRPr="00D32DE8">
        <w:rPr>
          <w:rFonts w:ascii="Times New Roman" w:eastAsia="Times New Roman" w:hAnsi="Times New Roman" w:cs="Times New Roman"/>
          <w:color w:val="333333"/>
          <w:sz w:val="24"/>
          <w:szCs w:val="24"/>
        </w:rPr>
        <w:instrText xml:space="preserve"> HYPERLINK "https://study.sagepub.com/sustaining-change-in-organizations/instructor-resources/chapter-5" \l "_ftnref1" \o "" </w:instrText>
      </w:r>
      <w:r w:rsidRPr="00D32DE8">
        <w:rPr>
          <w:rFonts w:ascii="Times New Roman" w:eastAsia="Times New Roman" w:hAnsi="Times New Roman" w:cs="Times New Roman"/>
          <w:color w:val="333333"/>
          <w:sz w:val="24"/>
          <w:szCs w:val="24"/>
        </w:rPr>
        <w:fldChar w:fldCharType="separate"/>
      </w:r>
      <w:r w:rsidRPr="00D32DE8">
        <w:rPr>
          <w:rFonts w:ascii="Times New Roman" w:eastAsia="Times New Roman" w:hAnsi="Times New Roman" w:cs="Times New Roman"/>
          <w:color w:val="016BA5"/>
          <w:sz w:val="24"/>
          <w:szCs w:val="24"/>
        </w:rPr>
        <w:t>[37]</w:t>
      </w:r>
      <w:r w:rsidRPr="00D32DE8">
        <w:rPr>
          <w:rFonts w:ascii="Times New Roman" w:eastAsia="Times New Roman" w:hAnsi="Times New Roman" w:cs="Times New Roman"/>
          <w:color w:val="333333"/>
          <w:sz w:val="24"/>
          <w:szCs w:val="24"/>
        </w:rPr>
        <w:fldChar w:fldCharType="end"/>
      </w:r>
      <w:bookmarkEnd w:id="2"/>
      <w:r w:rsidRPr="00D32DE8">
        <w:rPr>
          <w:rFonts w:ascii="Times New Roman" w:eastAsia="Times New Roman" w:hAnsi="Times New Roman" w:cs="Times New Roman"/>
          <w:color w:val="333333"/>
          <w:sz w:val="24"/>
          <w:szCs w:val="24"/>
        </w:rPr>
        <w:t> </w:t>
      </w:r>
      <w:proofErr w:type="spellStart"/>
      <w:r w:rsidRPr="00D32DE8">
        <w:rPr>
          <w:rFonts w:ascii="Times New Roman" w:eastAsia="Times New Roman" w:hAnsi="Times New Roman" w:cs="Times New Roman"/>
          <w:color w:val="333333"/>
          <w:sz w:val="24"/>
          <w:szCs w:val="24"/>
        </w:rPr>
        <w:t>Ottinger</w:t>
      </w:r>
      <w:proofErr w:type="spellEnd"/>
      <w:r w:rsidRPr="00D32DE8">
        <w:rPr>
          <w:rFonts w:ascii="Times New Roman" w:eastAsia="Times New Roman" w:hAnsi="Times New Roman" w:cs="Times New Roman"/>
          <w:color w:val="333333"/>
          <w:sz w:val="24"/>
          <w:szCs w:val="24"/>
        </w:rPr>
        <w:t>, R. (2013) ‘Kodak is back but has it learned its lesson’. Downloaded at </w:t>
      </w:r>
      <w:hyperlink r:id="rId6" w:tgtFrame="_blank" w:history="1">
        <w:r w:rsidRPr="00D32DE8">
          <w:rPr>
            <w:rFonts w:ascii="Times New Roman" w:eastAsia="Times New Roman" w:hAnsi="Times New Roman" w:cs="Times New Roman"/>
            <w:color w:val="016BA5"/>
            <w:sz w:val="24"/>
            <w:szCs w:val="24"/>
          </w:rPr>
          <w:t>www.forbes.com/sites/johnkotter/2013/09/09/kodak-is-back-but-has-it-learned-its-lesson/</w:t>
        </w:r>
      </w:hyperlink>
      <w:r w:rsidRPr="00D32DE8">
        <w:rPr>
          <w:rFonts w:ascii="Times New Roman" w:eastAsia="Times New Roman" w:hAnsi="Times New Roman" w:cs="Times New Roman"/>
          <w:color w:val="333333"/>
          <w:sz w:val="24"/>
          <w:szCs w:val="24"/>
        </w:rPr>
        <w:t> on 20 September 2013.</w:t>
      </w:r>
    </w:p>
    <w:p w14:paraId="6871D629" w14:textId="77777777" w:rsidR="00E748FF" w:rsidRDefault="006E6481"/>
    <w:sectPr w:rsidR="00E748F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7D66E3"/>
    <w:multiLevelType w:val="multilevel"/>
    <w:tmpl w:val="DCDC7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2DE8"/>
    <w:rsid w:val="00144D02"/>
    <w:rsid w:val="006E6481"/>
    <w:rsid w:val="00CC627C"/>
    <w:rsid w:val="00D32DE8"/>
    <w:rsid w:val="00DC7D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C2F119"/>
  <w15:chartTrackingRefBased/>
  <w15:docId w15:val="{7AC36972-269D-482A-BA44-8AF57D752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2">
    <w:name w:val="heading 2"/>
    <w:basedOn w:val="Normal"/>
    <w:link w:val="Heading2Char"/>
    <w:uiPriority w:val="9"/>
    <w:qFormat/>
    <w:rsid w:val="00D32DE8"/>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32DE8"/>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D32DE8"/>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D32DE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6806500">
      <w:bodyDiv w:val="1"/>
      <w:marLeft w:val="0"/>
      <w:marRight w:val="0"/>
      <w:marTop w:val="0"/>
      <w:marBottom w:val="0"/>
      <w:divBdr>
        <w:top w:val="none" w:sz="0" w:space="0" w:color="auto"/>
        <w:left w:val="none" w:sz="0" w:space="0" w:color="auto"/>
        <w:bottom w:val="none" w:sz="0" w:space="0" w:color="auto"/>
        <w:right w:val="none" w:sz="0" w:space="0" w:color="auto"/>
      </w:divBdr>
      <w:divsChild>
        <w:div w:id="1295059294">
          <w:marLeft w:val="0"/>
          <w:marRight w:val="0"/>
          <w:marTop w:val="0"/>
          <w:marBottom w:val="0"/>
          <w:divBdr>
            <w:top w:val="none" w:sz="0" w:space="0" w:color="auto"/>
            <w:left w:val="none" w:sz="0" w:space="0" w:color="auto"/>
            <w:bottom w:val="none" w:sz="0" w:space="0" w:color="auto"/>
            <w:right w:val="none" w:sz="0" w:space="0" w:color="auto"/>
          </w:divBdr>
        </w:div>
        <w:div w:id="602304120">
          <w:marLeft w:val="0"/>
          <w:marRight w:val="0"/>
          <w:marTop w:val="0"/>
          <w:marBottom w:val="0"/>
          <w:divBdr>
            <w:top w:val="none" w:sz="0" w:space="0" w:color="auto"/>
            <w:left w:val="none" w:sz="0" w:space="0" w:color="auto"/>
            <w:bottom w:val="none" w:sz="0" w:space="0" w:color="auto"/>
            <w:right w:val="none" w:sz="0" w:space="0" w:color="auto"/>
          </w:divBdr>
          <w:divsChild>
            <w:div w:id="1787502223">
              <w:marLeft w:val="0"/>
              <w:marRight w:val="0"/>
              <w:marTop w:val="0"/>
              <w:marBottom w:val="0"/>
              <w:divBdr>
                <w:top w:val="none" w:sz="0" w:space="0" w:color="auto"/>
                <w:left w:val="none" w:sz="0" w:space="0" w:color="auto"/>
                <w:bottom w:val="single" w:sz="6" w:space="8" w:color="EEEEEE"/>
                <w:right w:val="none" w:sz="0" w:space="0" w:color="auto"/>
              </w:divBdr>
              <w:divsChild>
                <w:div w:id="1966082170">
                  <w:marLeft w:val="0"/>
                  <w:marRight w:val="0"/>
                  <w:marTop w:val="0"/>
                  <w:marBottom w:val="0"/>
                  <w:divBdr>
                    <w:top w:val="none" w:sz="0" w:space="0" w:color="auto"/>
                    <w:left w:val="none" w:sz="0" w:space="0" w:color="auto"/>
                    <w:bottom w:val="none" w:sz="0" w:space="0" w:color="auto"/>
                    <w:right w:val="none" w:sz="0" w:space="0" w:color="auto"/>
                  </w:divBdr>
                </w:div>
                <w:div w:id="1962957299">
                  <w:marLeft w:val="0"/>
                  <w:marRight w:val="0"/>
                  <w:marTop w:val="0"/>
                  <w:marBottom w:val="0"/>
                  <w:divBdr>
                    <w:top w:val="none" w:sz="0" w:space="0" w:color="auto"/>
                    <w:left w:val="none" w:sz="0" w:space="0" w:color="auto"/>
                    <w:bottom w:val="none" w:sz="0" w:space="0" w:color="auto"/>
                    <w:right w:val="none" w:sz="0" w:space="0" w:color="auto"/>
                  </w:divBdr>
                  <w:divsChild>
                    <w:div w:id="1474063778">
                      <w:marLeft w:val="0"/>
                      <w:marRight w:val="0"/>
                      <w:marTop w:val="0"/>
                      <w:marBottom w:val="300"/>
                      <w:divBdr>
                        <w:top w:val="none" w:sz="0" w:space="0" w:color="auto"/>
                        <w:left w:val="none" w:sz="0" w:space="0" w:color="auto"/>
                        <w:bottom w:val="none" w:sz="0" w:space="0" w:color="auto"/>
                        <w:right w:val="none" w:sz="0" w:space="0" w:color="auto"/>
                      </w:divBdr>
                    </w:div>
                    <w:div w:id="28573762">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298610450">
              <w:marLeft w:val="0"/>
              <w:marRight w:val="0"/>
              <w:marTop w:val="0"/>
              <w:marBottom w:val="0"/>
              <w:divBdr>
                <w:top w:val="none" w:sz="0" w:space="0" w:color="auto"/>
                <w:left w:val="none" w:sz="0" w:space="0" w:color="auto"/>
                <w:bottom w:val="none" w:sz="0" w:space="0" w:color="auto"/>
                <w:right w:val="none" w:sz="0" w:space="0" w:color="auto"/>
              </w:divBdr>
              <w:divsChild>
                <w:div w:id="1689284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forbes.com/sites/johnkotter/2013/09/09/kodak-is-back-but-has-it-learned-its-lesson/" TargetMode="External"/><Relationship Id="rId5" Type="http://schemas.openxmlformats.org/officeDocument/2006/relationships/hyperlink" Target="http://www.forbes.com/sites/johnkotter/2012/05/02/barriers-to-change-the-real-reason-behind-the-kodak-downfal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658</Words>
  <Characters>3756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Tiphanie Ivey</dc:creator>
  <cp:keywords/>
  <dc:description/>
  <cp:lastModifiedBy>Tiphanie I</cp:lastModifiedBy>
  <cp:revision>2</cp:revision>
  <dcterms:created xsi:type="dcterms:W3CDTF">2019-10-27T02:30:00Z</dcterms:created>
  <dcterms:modified xsi:type="dcterms:W3CDTF">2019-10-27T02:30:00Z</dcterms:modified>
</cp:coreProperties>
</file>